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05" w:rsidRPr="00F62005" w:rsidRDefault="00F62005" w:rsidP="00F62005">
      <w:pPr>
        <w:shd w:val="clear" w:color="auto" w:fill="FFFFFF"/>
        <w:spacing w:after="150" w:line="240" w:lineRule="auto"/>
        <w:outlineLvl w:val="1"/>
        <w:rPr>
          <w:rFonts w:ascii="Times New Roman" w:eastAsia="Times New Roman" w:hAnsi="Times New Roman" w:cs="Times New Roman"/>
          <w:b/>
          <w:bCs/>
          <w:sz w:val="28"/>
          <w:szCs w:val="28"/>
        </w:rPr>
      </w:pPr>
      <w:r w:rsidRPr="00F62005">
        <w:rPr>
          <w:rFonts w:ascii="Times New Roman" w:eastAsia="Times New Roman" w:hAnsi="Times New Roman" w:cs="Times New Roman"/>
          <w:b/>
          <w:bCs/>
          <w:sz w:val="28"/>
          <w:szCs w:val="28"/>
        </w:rPr>
        <w:t>Hướng dẫn việc thu gom, xử lý chất thải chăn nuôi, phụ phẩm nông nghiệp tái sử dụng cho mục đích khác</w:t>
      </w:r>
    </w:p>
    <w:p w:rsidR="00F62005" w:rsidRPr="00F62005" w:rsidRDefault="00F62005" w:rsidP="00F62005">
      <w:pPr>
        <w:pStyle w:val="Heading5"/>
        <w:shd w:val="clear" w:color="auto" w:fill="FFFFFF"/>
        <w:spacing w:before="150" w:after="150" w:line="300" w:lineRule="atLeast"/>
        <w:ind w:firstLine="750"/>
        <w:jc w:val="both"/>
        <w:rPr>
          <w:rFonts w:ascii="Arial" w:eastAsia="Times New Roman" w:hAnsi="Arial" w:cs="Arial"/>
          <w:b/>
          <w:bCs/>
          <w:color w:val="0F1010"/>
          <w:sz w:val="21"/>
          <w:szCs w:val="21"/>
        </w:rPr>
      </w:pPr>
      <w:r w:rsidRPr="00F62005">
        <w:rPr>
          <w:rFonts w:ascii="Times New Roman" w:eastAsia="Times New Roman" w:hAnsi="Times New Roman" w:cs="Times New Roman"/>
          <w:i/>
          <w:iCs/>
          <w:color w:val="auto"/>
          <w:sz w:val="28"/>
          <w:szCs w:val="28"/>
        </w:rPr>
        <w:t> </w:t>
      </w:r>
      <w:r w:rsidRPr="00F62005">
        <w:rPr>
          <w:rFonts w:ascii="Times New Roman" w:eastAsia="Times New Roman" w:hAnsi="Times New Roman" w:cs="Times New Roman"/>
          <w:b/>
          <w:bCs/>
          <w:color w:val="auto"/>
          <w:sz w:val="28"/>
          <w:szCs w:val="28"/>
        </w:rPr>
        <w:t>Ngày 26/10/2021, Bộ Nông nghiệp và Phát triển nông thôn ban hành Thông tư số 12/2021/TT-BNNPTNT hướng dẫn việc thu gom, xử lý chất thải chăn nuôi, phụ phẩm nông nghiệp tái sử dụng cho mục đích khác</w:t>
      </w:r>
      <w:r w:rsidRPr="00F62005">
        <w:rPr>
          <w:rFonts w:ascii="Arial" w:eastAsia="Times New Roman" w:hAnsi="Arial" w:cs="Arial"/>
          <w:b/>
          <w:bCs/>
          <w:color w:val="0F1010"/>
          <w:sz w:val="21"/>
          <w:szCs w:val="21"/>
        </w:rPr>
        <w:t>.</w:t>
      </w:r>
      <w:r>
        <w:rPr>
          <w:rFonts w:ascii="Arial" w:eastAsia="Times New Roman" w:hAnsi="Arial" w:cs="Arial"/>
          <w:b/>
          <w:bCs/>
          <w:color w:val="0F1010"/>
          <w:sz w:val="21"/>
          <w:szCs w:val="21"/>
        </w:rPr>
        <w:t xml:space="preserve"> </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b/>
          <w:bCs/>
          <w:color w:val="212529"/>
          <w:sz w:val="28"/>
          <w:szCs w:val="28"/>
        </w:rPr>
        <w:t>Một số nội dung được qui định tại Thông tư:</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b/>
          <w:bCs/>
          <w:color w:val="212529"/>
          <w:sz w:val="28"/>
          <w:szCs w:val="28"/>
        </w:rPr>
        <w:t>1. Đối với thu gom chất thải rắn chăn nuôi  có nguồn gốc hữu cơ:</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color w:val="212529"/>
          <w:sz w:val="28"/>
          <w:szCs w:val="28"/>
        </w:rPr>
        <w:t>- Chất thải rắn có nguồn gốc hữu cơ trong chăn nuôi nông hộ phải thu gom để xử lý theo quy định tại điểm a khoản 1 Điều 5 Thông tư này, đảm bảo không gây ô nhiễm môi trường;</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color w:val="212529"/>
          <w:sz w:val="28"/>
          <w:szCs w:val="28"/>
        </w:rPr>
        <w:t>- Chất thải rắn có nguồn gốc hữu cơ trong chăn nuôi trang trại phải thu gom, vận chuyển đến vị trí tập trung trong khuôn viên cơ sở chăn nuôi trang trại và xử lý theo quy định tại điểm b khoản 1 Điều 5 Thông tư này, đảm bảo không gây ô nhiễm môi trường. Việc thu gom chất thải rắn có nguồn gốc hữu cơ được thực hiện hàng ngày đối với cơ sở chăn nuôi gia súc, thu gom theo đợt đối với cơ sở chăn nuôi gia cầm và cơ sở chăn nuôi sử dụng đệm lót sinh học; </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color w:val="212529"/>
          <w:sz w:val="28"/>
          <w:szCs w:val="28"/>
        </w:rPr>
        <w:t>- Vị trí tập trung chất thải rắn trong khuôn viên cơ sở chăn nuôi trang trại để xử lý phải xa khu chuồng nuôi, xa nơi cấp nước, khu vực kho thức ăn chăn nuôi. </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b/>
          <w:bCs/>
          <w:color w:val="212529"/>
          <w:sz w:val="28"/>
          <w:szCs w:val="28"/>
        </w:rPr>
        <w:t>2. Xử lý chất thải chăn nuôi</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b/>
          <w:bCs/>
          <w:i/>
          <w:iCs/>
          <w:color w:val="212529"/>
          <w:sz w:val="28"/>
          <w:szCs w:val="28"/>
        </w:rPr>
        <w:t>* Xử lý chất thải rắn có nguồn gốc hữu cơ:</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color w:val="212529"/>
          <w:sz w:val="28"/>
          <w:szCs w:val="28"/>
        </w:rPr>
        <w:t>- Chất thải rắn có nguồn gốc hữu cơ trong chăn nuôi nông hộ được xử lý bằng một hoặc một nhóm các biện pháp sau: ủ compost, công nghệ khí sinh học (biogas), chế phẩm sinh học, đệm lót sinh học hoặc các giải pháp khác để sử dụng cho cây trồng; </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color w:val="212529"/>
          <w:sz w:val="28"/>
          <w:szCs w:val="28"/>
        </w:rPr>
        <w:t>- Chất thải rắn có nguồn gốc hữu cơ trong chăn nuôi trang trại đã qua xử lý đáp ứng quy chuẩn kỹ thuật quốc gia được sử dụng cho cây trồng hoặc làm thức ăn cho thủy sản. Trong thời gian chưa có quy chuẩn kỹ thuật quốc gia, việc xử lý chất thải rắn có nguồn gốc hữu cơ thực hiện theo hướng dẫn của các cơ quan quản lý chuyên ngành; </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color w:val="212529"/>
          <w:sz w:val="28"/>
          <w:szCs w:val="28"/>
        </w:rPr>
        <w:t>- Việc vận chuyển chất thải rắn có nguồn gốc hữu cơ chưa được xử lý ra khỏi cơ sở chăn nuôi thực hiện theo quy định của pháp luật về bảo vệ môi trường.</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b/>
          <w:bCs/>
          <w:i/>
          <w:iCs/>
          <w:color w:val="212529"/>
          <w:sz w:val="28"/>
          <w:szCs w:val="28"/>
        </w:rPr>
        <w:t>* Xử lý nước thải chăn nuôi:</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color w:val="212529"/>
          <w:sz w:val="28"/>
          <w:szCs w:val="28"/>
        </w:rPr>
        <w:t xml:space="preserve">- Nước thải chăn nuôi trong chăn nuôi nông hộ được xử lý bằng một hoặc một nhóm các biện pháp sau: công nghệ khí sinh học, ao sinh học, chế phẩm sinh </w:t>
      </w:r>
      <w:r w:rsidRPr="00F62005">
        <w:rPr>
          <w:rFonts w:ascii="Times New Roman" w:eastAsia="Times New Roman" w:hAnsi="Times New Roman" w:cs="Times New Roman"/>
          <w:color w:val="212529"/>
          <w:sz w:val="28"/>
          <w:szCs w:val="28"/>
        </w:rPr>
        <w:lastRenderedPageBreak/>
        <w:t>học hoặc các biện pháp khác được sử dụng cho cây trồng phải đảm bảo hạn chế phát sinh mùi hôi, thối và không để chảy tràn ra môi trường xung quanh;</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color w:val="212529"/>
          <w:sz w:val="28"/>
          <w:szCs w:val="28"/>
        </w:rPr>
        <w:t>- Nước thải chăn nuôi trong chăn nuôi trang trại đáp ứng quy chuẩn kỹ thuật quốc gia về nước thải chăn nuôi sử dụng cho cây trồng, được sử dụng tưới cho cây trồng hoặc mục đích khác trong khuôn viên trang trại. Việc sử dụng nước thải chăn nuôi phải đảm bảo hạn chế phát sinh mùi hôi, thối và không để chảy tràn ra môi trường xung quanh. </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b/>
          <w:bCs/>
          <w:i/>
          <w:iCs/>
          <w:color w:val="212529"/>
          <w:sz w:val="28"/>
          <w:szCs w:val="28"/>
        </w:rPr>
        <w:t>* Khuyến khích sử dụng chế phẩm sinh học, ứng dụng tiến bộ công nghệ, kỹ thuật mới trong quá trình xử lý chất thải chăn nuôi.</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b/>
          <w:bCs/>
          <w:color w:val="212529"/>
          <w:sz w:val="28"/>
          <w:szCs w:val="28"/>
        </w:rPr>
        <w:t>3. Thu gom, xử lý phụ phẩm nông nghiệp tái sử dụng cho mục đích khác:</w:t>
      </w:r>
    </w:p>
    <w:p w:rsidR="00F62005" w:rsidRPr="00F62005" w:rsidRDefault="00F62005" w:rsidP="00F62005">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F62005">
        <w:rPr>
          <w:rFonts w:ascii="Times New Roman" w:eastAsia="Times New Roman" w:hAnsi="Times New Roman" w:cs="Times New Roman"/>
          <w:color w:val="212529"/>
          <w:sz w:val="28"/>
          <w:szCs w:val="28"/>
        </w:rPr>
        <w:t>Việc thu gom, xử lý phụ phẩm nông nghiệp tái sử dụng cho mục đích khác thực hiện theo Thông tư số 19/2019/TT-BNNPTNT ngày 15 tháng 11 năm 2019 của Bộ trưởng Bộ Nông nghiệp và Phát triển nông thôn quy định việc thu gom, xử lý, sử dụng phụ phẩm cây trồng./.</w:t>
      </w:r>
    </w:p>
    <w:p w:rsidR="00B0776F" w:rsidRPr="00F62005" w:rsidRDefault="00F62005">
      <w:pPr>
        <w:rPr>
          <w:rFonts w:ascii="Times New Roman" w:hAnsi="Times New Roman" w:cs="Times New Roman"/>
          <w:sz w:val="28"/>
          <w:szCs w:val="28"/>
        </w:rPr>
      </w:pPr>
      <w:r w:rsidRPr="00F62005">
        <w:rPr>
          <w:rFonts w:ascii="Times New Roman" w:hAnsi="Times New Roman" w:cs="Times New Roman"/>
          <w:color w:val="0F1010"/>
          <w:sz w:val="28"/>
          <w:szCs w:val="28"/>
          <w:shd w:val="clear" w:color="auto" w:fill="FFFFFF"/>
        </w:rPr>
        <w:t>Thông tư này có hiệu lực kể từ ngày 01/01/2022.</w:t>
      </w:r>
      <w:bookmarkStart w:id="0" w:name="_GoBack"/>
      <w:bookmarkEnd w:id="0"/>
    </w:p>
    <w:sectPr w:rsidR="00B0776F" w:rsidRPr="00F62005"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005"/>
    <w:rsid w:val="003153E1"/>
    <w:rsid w:val="00937FEF"/>
    <w:rsid w:val="00B57302"/>
    <w:rsid w:val="00F6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F620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6200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F620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6200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7212">
      <w:bodyDiv w:val="1"/>
      <w:marLeft w:val="0"/>
      <w:marRight w:val="0"/>
      <w:marTop w:val="0"/>
      <w:marBottom w:val="0"/>
      <w:divBdr>
        <w:top w:val="none" w:sz="0" w:space="0" w:color="auto"/>
        <w:left w:val="none" w:sz="0" w:space="0" w:color="auto"/>
        <w:bottom w:val="none" w:sz="0" w:space="0" w:color="auto"/>
        <w:right w:val="none" w:sz="0" w:space="0" w:color="auto"/>
      </w:divBdr>
    </w:div>
    <w:div w:id="1786001643">
      <w:bodyDiv w:val="1"/>
      <w:marLeft w:val="0"/>
      <w:marRight w:val="0"/>
      <w:marTop w:val="0"/>
      <w:marBottom w:val="0"/>
      <w:divBdr>
        <w:top w:val="none" w:sz="0" w:space="0" w:color="auto"/>
        <w:left w:val="none" w:sz="0" w:space="0" w:color="auto"/>
        <w:bottom w:val="none" w:sz="0" w:space="0" w:color="auto"/>
        <w:right w:val="none" w:sz="0" w:space="0" w:color="auto"/>
      </w:divBdr>
      <w:divsChild>
        <w:div w:id="1067649327">
          <w:marLeft w:val="0"/>
          <w:marRight w:val="0"/>
          <w:marTop w:val="0"/>
          <w:marBottom w:val="0"/>
          <w:divBdr>
            <w:top w:val="none" w:sz="0" w:space="0" w:color="auto"/>
            <w:left w:val="none" w:sz="0" w:space="0" w:color="auto"/>
            <w:bottom w:val="none" w:sz="0" w:space="0" w:color="auto"/>
            <w:right w:val="none" w:sz="0" w:space="0" w:color="auto"/>
          </w:divBdr>
        </w:div>
        <w:div w:id="763113254">
          <w:marLeft w:val="0"/>
          <w:marRight w:val="0"/>
          <w:marTop w:val="180"/>
          <w:marBottom w:val="0"/>
          <w:divBdr>
            <w:top w:val="none" w:sz="0" w:space="0" w:color="auto"/>
            <w:left w:val="none" w:sz="0" w:space="0" w:color="auto"/>
            <w:bottom w:val="none" w:sz="0" w:space="0" w:color="auto"/>
            <w:right w:val="none" w:sz="0" w:space="0" w:color="auto"/>
          </w:divBdr>
          <w:divsChild>
            <w:div w:id="1645818446">
              <w:marLeft w:val="0"/>
              <w:marRight w:val="0"/>
              <w:marTop w:val="0"/>
              <w:marBottom w:val="0"/>
              <w:divBdr>
                <w:top w:val="none" w:sz="0" w:space="0" w:color="auto"/>
                <w:left w:val="none" w:sz="0" w:space="0" w:color="auto"/>
                <w:bottom w:val="none" w:sz="0" w:space="0" w:color="auto"/>
                <w:right w:val="none" w:sz="0" w:space="0" w:color="auto"/>
              </w:divBdr>
            </w:div>
            <w:div w:id="2108302860">
              <w:marLeft w:val="0"/>
              <w:marRight w:val="0"/>
              <w:marTop w:val="0"/>
              <w:marBottom w:val="0"/>
              <w:divBdr>
                <w:top w:val="none" w:sz="0" w:space="0" w:color="auto"/>
                <w:left w:val="none" w:sz="0" w:space="0" w:color="auto"/>
                <w:bottom w:val="none" w:sz="0" w:space="0" w:color="auto"/>
                <w:right w:val="none" w:sz="0" w:space="0" w:color="auto"/>
              </w:divBdr>
            </w:div>
          </w:divsChild>
        </w:div>
        <w:div w:id="999769923">
          <w:marLeft w:val="0"/>
          <w:marRight w:val="0"/>
          <w:marTop w:val="0"/>
          <w:marBottom w:val="0"/>
          <w:divBdr>
            <w:top w:val="none" w:sz="0" w:space="0" w:color="auto"/>
            <w:left w:val="none" w:sz="0" w:space="0" w:color="auto"/>
            <w:bottom w:val="none" w:sz="0" w:space="0" w:color="auto"/>
            <w:right w:val="none" w:sz="0" w:space="0" w:color="auto"/>
          </w:divBdr>
          <w:divsChild>
            <w:div w:id="1517109261">
              <w:marLeft w:val="0"/>
              <w:marRight w:val="0"/>
              <w:marTop w:val="0"/>
              <w:marBottom w:val="0"/>
              <w:divBdr>
                <w:top w:val="none" w:sz="0" w:space="0" w:color="auto"/>
                <w:left w:val="none" w:sz="0" w:space="0" w:color="auto"/>
                <w:bottom w:val="none" w:sz="0" w:space="0" w:color="auto"/>
                <w:right w:val="none" w:sz="0" w:space="0" w:color="auto"/>
              </w:divBdr>
              <w:divsChild>
                <w:div w:id="1573006511">
                  <w:marLeft w:val="0"/>
                  <w:marRight w:val="0"/>
                  <w:marTop w:val="0"/>
                  <w:marBottom w:val="0"/>
                  <w:divBdr>
                    <w:top w:val="none" w:sz="0" w:space="0" w:color="auto"/>
                    <w:left w:val="none" w:sz="0" w:space="0" w:color="auto"/>
                    <w:bottom w:val="none" w:sz="0" w:space="0" w:color="auto"/>
                    <w:right w:val="none" w:sz="0" w:space="0" w:color="auto"/>
                  </w:divBdr>
                </w:div>
                <w:div w:id="12147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B2D4F-AA77-4B2A-88AB-14952F0AC666}"/>
</file>

<file path=customXml/itemProps2.xml><?xml version="1.0" encoding="utf-8"?>
<ds:datastoreItem xmlns:ds="http://schemas.openxmlformats.org/officeDocument/2006/customXml" ds:itemID="{44E46A4F-9740-4236-836D-201AE8F9BBBE}"/>
</file>

<file path=customXml/itemProps3.xml><?xml version="1.0" encoding="utf-8"?>
<ds:datastoreItem xmlns:ds="http://schemas.openxmlformats.org/officeDocument/2006/customXml" ds:itemID="{C8EDEDA0-9B15-48ED-9C06-8A456C3BB541}"/>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2022-02-25T09:05:00Z</cp:lastPrinted>
  <dcterms:created xsi:type="dcterms:W3CDTF">2022-02-25T09:02:00Z</dcterms:created>
  <dcterms:modified xsi:type="dcterms:W3CDTF">2022-02-25T09:06:00Z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